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9000" w14:textId="1B41110F" w:rsidR="00FA3858" w:rsidRDefault="00AA6AFF"/>
    <w:p w14:paraId="2A381E47" w14:textId="09A3101C" w:rsidR="00501CCB" w:rsidRPr="002F5F59" w:rsidRDefault="00501CCB" w:rsidP="00501CCB">
      <w:pPr>
        <w:jc w:val="center"/>
        <w:rPr>
          <w:b/>
          <w:bCs/>
          <w:sz w:val="24"/>
          <w:szCs w:val="24"/>
        </w:rPr>
      </w:pPr>
      <w:r w:rsidRPr="002F5F59">
        <w:rPr>
          <w:b/>
          <w:bCs/>
          <w:sz w:val="24"/>
          <w:szCs w:val="24"/>
        </w:rPr>
        <w:t xml:space="preserve">Hinduja Leyland Finance - Public disclosure on liquidity risk (as on </w:t>
      </w:r>
      <w:r w:rsidR="00B01BD8">
        <w:rPr>
          <w:b/>
          <w:bCs/>
          <w:sz w:val="24"/>
          <w:szCs w:val="24"/>
        </w:rPr>
        <w:t>3</w:t>
      </w:r>
      <w:r w:rsidR="00F4442D">
        <w:rPr>
          <w:b/>
          <w:bCs/>
          <w:sz w:val="24"/>
          <w:szCs w:val="24"/>
        </w:rPr>
        <w:t>1</w:t>
      </w:r>
      <w:r w:rsidR="00F4442D" w:rsidRPr="00F4442D">
        <w:rPr>
          <w:b/>
          <w:bCs/>
          <w:sz w:val="24"/>
          <w:szCs w:val="24"/>
          <w:vertAlign w:val="superscript"/>
        </w:rPr>
        <w:t>st</w:t>
      </w:r>
      <w:r w:rsidR="00F4442D">
        <w:rPr>
          <w:b/>
          <w:bCs/>
          <w:sz w:val="24"/>
          <w:szCs w:val="24"/>
        </w:rPr>
        <w:t xml:space="preserve"> December </w:t>
      </w:r>
      <w:r w:rsidR="00173A9F">
        <w:rPr>
          <w:b/>
          <w:bCs/>
          <w:sz w:val="24"/>
          <w:szCs w:val="24"/>
        </w:rPr>
        <w:t>2021</w:t>
      </w:r>
      <w:r w:rsidRPr="002F5F59">
        <w:rPr>
          <w:b/>
          <w:bCs/>
          <w:sz w:val="24"/>
          <w:szCs w:val="24"/>
        </w:rPr>
        <w:t>)</w:t>
      </w:r>
    </w:p>
    <w:p w14:paraId="3BFE6E2D" w14:textId="2AD5784F" w:rsidR="00501CCB" w:rsidRPr="00501CCB" w:rsidRDefault="00501CCB"/>
    <w:p w14:paraId="5A753EDF" w14:textId="64AC7DBD" w:rsidR="00501CCB" w:rsidRPr="00501CCB" w:rsidRDefault="00501CCB" w:rsidP="00501CCB">
      <w:pPr>
        <w:pStyle w:val="ListParagraph"/>
        <w:numPr>
          <w:ilvl w:val="0"/>
          <w:numId w:val="1"/>
        </w:numPr>
        <w:rPr>
          <w:b/>
          <w:bCs/>
        </w:rPr>
      </w:pPr>
      <w:r w:rsidRPr="00501CCB">
        <w:rPr>
          <w:b/>
          <w:bCs/>
        </w:rPr>
        <w:t>Funding concentration based on significant counterparty (both deposits and borrowing)</w:t>
      </w:r>
    </w:p>
    <w:tbl>
      <w:tblPr>
        <w:tblW w:w="690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60"/>
        <w:gridCol w:w="1420"/>
        <w:gridCol w:w="1480"/>
        <w:gridCol w:w="1540"/>
      </w:tblGrid>
      <w:tr w:rsidR="00A5048D" w:rsidRPr="00501CCB" w14:paraId="5AA8CA6D" w14:textId="77777777" w:rsidTr="00A5048D">
        <w:trPr>
          <w:trHeight w:val="645"/>
          <w:jc w:val="center"/>
        </w:trPr>
        <w:tc>
          <w:tcPr>
            <w:tcW w:w="2460" w:type="dxa"/>
            <w:shd w:val="clear" w:color="auto" w:fill="auto"/>
            <w:vAlign w:val="bottom"/>
            <w:hideMark/>
          </w:tcPr>
          <w:p w14:paraId="4C2FED68" w14:textId="77777777" w:rsidR="00A5048D" w:rsidRPr="00501CCB" w:rsidRDefault="00A5048D" w:rsidP="00501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501CC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Number of Significant Counterparties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65B38120" w14:textId="458B198D" w:rsidR="00A5048D" w:rsidRPr="00501CCB" w:rsidRDefault="00A5048D" w:rsidP="00501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501CC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Amount in </w:t>
            </w:r>
            <w:r w:rsidRPr="002F5F5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Rs crore</w:t>
            </w:r>
            <w:r w:rsidRPr="00501CC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14:paraId="326D9A5E" w14:textId="77777777" w:rsidR="00A5048D" w:rsidRPr="00501CCB" w:rsidRDefault="00A5048D" w:rsidP="00BD4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501CC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% </w:t>
            </w:r>
            <w:proofErr w:type="gramStart"/>
            <w:r w:rsidRPr="00501CC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of</w:t>
            </w:r>
            <w:proofErr w:type="gramEnd"/>
            <w:r w:rsidRPr="00501CC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Total Borrowings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14:paraId="31C7D7A6" w14:textId="481126B3" w:rsidR="00A5048D" w:rsidRPr="00501CCB" w:rsidRDefault="00A5048D" w:rsidP="00BD4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501CC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% </w:t>
            </w:r>
            <w:proofErr w:type="gramStart"/>
            <w:r w:rsidRPr="00501CC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of</w:t>
            </w:r>
            <w:proofErr w:type="gramEnd"/>
            <w:r w:rsidRPr="00501CC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Total Liabilities</w:t>
            </w:r>
            <w:r w:rsidR="00BD4756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*</w:t>
            </w:r>
          </w:p>
        </w:tc>
      </w:tr>
      <w:tr w:rsidR="00A5048D" w:rsidRPr="00501CCB" w14:paraId="2B1F92C6" w14:textId="77777777" w:rsidTr="00A5048D">
        <w:trPr>
          <w:trHeight w:val="300"/>
          <w:jc w:val="center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006118F" w14:textId="5F653F36" w:rsidR="00A5048D" w:rsidRPr="00501CCB" w:rsidRDefault="00A5048D" w:rsidP="00A50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1CCB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  <w:r w:rsidR="00FB43BF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3DC8055" w14:textId="7263E086" w:rsidR="00A5048D" w:rsidRPr="00501CCB" w:rsidRDefault="00FB43BF" w:rsidP="00A50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13,813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D33E724" w14:textId="4CEE4493" w:rsidR="00A5048D" w:rsidRPr="00501CCB" w:rsidRDefault="00B01BD8" w:rsidP="00A50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  <w:r w:rsidR="00FB43BF">
              <w:rPr>
                <w:rFonts w:ascii="Calibri" w:eastAsia="Times New Roman" w:hAnsi="Calibri" w:cs="Calibri"/>
                <w:color w:val="000000"/>
                <w:lang w:eastAsia="en-IN"/>
              </w:rPr>
              <w:t>6.5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B3714A4" w14:textId="146C3EE2" w:rsidR="00A5048D" w:rsidRPr="00501CCB" w:rsidRDefault="00FB1ABA" w:rsidP="00A50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  <w:r w:rsidR="00FB43BF">
              <w:rPr>
                <w:rFonts w:ascii="Calibri" w:eastAsia="Times New Roman" w:hAnsi="Calibri" w:cs="Calibri"/>
                <w:color w:val="000000"/>
                <w:lang w:eastAsia="en-IN"/>
              </w:rPr>
              <w:t>1.6</w:t>
            </w:r>
          </w:p>
        </w:tc>
      </w:tr>
    </w:tbl>
    <w:p w14:paraId="7D8B2AD1" w14:textId="77777777" w:rsidR="00BD4756" w:rsidRDefault="00BD4756" w:rsidP="00BD4756">
      <w:r w:rsidRPr="00BD4756">
        <w:rPr>
          <w:sz w:val="16"/>
          <w:szCs w:val="16"/>
        </w:rPr>
        <w:tab/>
      </w:r>
      <w:r w:rsidRPr="00BD4756">
        <w:rPr>
          <w:sz w:val="16"/>
          <w:szCs w:val="16"/>
        </w:rPr>
        <w:tab/>
        <w:t>* Liabilities includes financial and non-financial liabilities</w:t>
      </w:r>
      <w:r>
        <w:rPr>
          <w:sz w:val="16"/>
          <w:szCs w:val="16"/>
        </w:rPr>
        <w:t xml:space="preserve"> and does not include shareholders’ equity</w:t>
      </w:r>
    </w:p>
    <w:p w14:paraId="11784047" w14:textId="77777777" w:rsidR="00BD4756" w:rsidRDefault="00BD4756" w:rsidP="00BD4756">
      <w:pPr>
        <w:pStyle w:val="ListParagraph"/>
        <w:ind w:left="1080"/>
        <w:rPr>
          <w:b/>
          <w:bCs/>
        </w:rPr>
      </w:pPr>
    </w:p>
    <w:p w14:paraId="6C9EE5C9" w14:textId="123835E5" w:rsidR="00501CCB" w:rsidRPr="00501CCB" w:rsidRDefault="00501CCB" w:rsidP="00501CCB">
      <w:pPr>
        <w:pStyle w:val="ListParagraph"/>
        <w:numPr>
          <w:ilvl w:val="0"/>
          <w:numId w:val="1"/>
        </w:numPr>
        <w:rPr>
          <w:b/>
          <w:bCs/>
        </w:rPr>
      </w:pPr>
      <w:r w:rsidRPr="00501CCB">
        <w:rPr>
          <w:b/>
          <w:bCs/>
        </w:rPr>
        <w:t>Top 20 large deposits (amount in Rs crores and % of total deposits)</w:t>
      </w:r>
    </w:p>
    <w:p w14:paraId="074151D3" w14:textId="643BF5F0" w:rsidR="00501CCB" w:rsidRPr="00501CCB" w:rsidRDefault="00501CCB" w:rsidP="00501CCB">
      <w:pPr>
        <w:ind w:left="720" w:firstLine="360"/>
      </w:pPr>
      <w:r>
        <w:t>This is not applicable as we are a non-deposit taking NBFC</w:t>
      </w:r>
    </w:p>
    <w:p w14:paraId="7238B329" w14:textId="043E273B" w:rsidR="00501CCB" w:rsidRPr="00501CCB" w:rsidRDefault="00501CCB" w:rsidP="00501CCB"/>
    <w:p w14:paraId="5F73B54F" w14:textId="088A7039" w:rsidR="00501CCB" w:rsidRPr="00173A9F" w:rsidRDefault="00501CCB" w:rsidP="00501CCB">
      <w:pPr>
        <w:pStyle w:val="ListParagraph"/>
        <w:numPr>
          <w:ilvl w:val="0"/>
          <w:numId w:val="1"/>
        </w:numPr>
        <w:rPr>
          <w:b/>
          <w:bCs/>
        </w:rPr>
      </w:pPr>
      <w:r w:rsidRPr="00501CCB">
        <w:rPr>
          <w:b/>
          <w:bCs/>
        </w:rPr>
        <w:t>Top 10 borrowings (</w:t>
      </w:r>
      <w:r w:rsidRPr="00501CCB">
        <w:rPr>
          <w:b/>
          <w:bCs/>
          <w:lang w:val="en-GB"/>
        </w:rPr>
        <w:t>amount in Rs crores and % of total borrowings)</w:t>
      </w:r>
    </w:p>
    <w:tbl>
      <w:tblPr>
        <w:tblStyle w:val="TableGrid"/>
        <w:tblW w:w="0" w:type="auto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70"/>
        <w:gridCol w:w="2270"/>
        <w:gridCol w:w="2270"/>
      </w:tblGrid>
      <w:tr w:rsidR="00173A9F" w14:paraId="08FDC82D" w14:textId="77777777" w:rsidTr="000D56D2">
        <w:trPr>
          <w:trHeight w:val="328"/>
          <w:jc w:val="center"/>
        </w:trPr>
        <w:tc>
          <w:tcPr>
            <w:tcW w:w="2270" w:type="dxa"/>
          </w:tcPr>
          <w:p w14:paraId="2CEF9C75" w14:textId="77777777" w:rsidR="00173A9F" w:rsidRDefault="00173A9F" w:rsidP="00173A9F">
            <w:pPr>
              <w:rPr>
                <w:b/>
                <w:bCs/>
              </w:rPr>
            </w:pPr>
          </w:p>
        </w:tc>
        <w:tc>
          <w:tcPr>
            <w:tcW w:w="2270" w:type="dxa"/>
          </w:tcPr>
          <w:p w14:paraId="7F51FDDB" w14:textId="4CAC93AC" w:rsidR="00173A9F" w:rsidRDefault="00173A9F" w:rsidP="00173A9F">
            <w:pPr>
              <w:rPr>
                <w:b/>
                <w:bCs/>
              </w:rPr>
            </w:pPr>
            <w:r>
              <w:rPr>
                <w:b/>
                <w:bCs/>
              </w:rPr>
              <w:t>Outstanding (in Rs crores)</w:t>
            </w:r>
          </w:p>
        </w:tc>
        <w:tc>
          <w:tcPr>
            <w:tcW w:w="2270" w:type="dxa"/>
          </w:tcPr>
          <w:p w14:paraId="0784B419" w14:textId="22759029" w:rsidR="00173A9F" w:rsidRDefault="00173A9F" w:rsidP="00173A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  <w:proofErr w:type="gramStart"/>
            <w:r>
              <w:rPr>
                <w:b/>
                <w:bCs/>
              </w:rPr>
              <w:t>of</w:t>
            </w:r>
            <w:proofErr w:type="gramEnd"/>
            <w:r>
              <w:rPr>
                <w:b/>
                <w:bCs/>
              </w:rPr>
              <w:t xml:space="preserve"> total borrowings</w:t>
            </w:r>
          </w:p>
        </w:tc>
      </w:tr>
      <w:tr w:rsidR="00173A9F" w14:paraId="21A27B99" w14:textId="77777777" w:rsidTr="000D56D2">
        <w:trPr>
          <w:trHeight w:val="310"/>
          <w:jc w:val="center"/>
        </w:trPr>
        <w:tc>
          <w:tcPr>
            <w:tcW w:w="2270" w:type="dxa"/>
          </w:tcPr>
          <w:p w14:paraId="0AF51675" w14:textId="6B95B483" w:rsidR="00173A9F" w:rsidRDefault="00173A9F" w:rsidP="00173A9F">
            <w:pPr>
              <w:rPr>
                <w:b/>
                <w:bCs/>
              </w:rPr>
            </w:pPr>
            <w:r>
              <w:rPr>
                <w:b/>
                <w:bCs/>
              </w:rPr>
              <w:t>Top 10 borrowings</w:t>
            </w:r>
          </w:p>
        </w:tc>
        <w:tc>
          <w:tcPr>
            <w:tcW w:w="2270" w:type="dxa"/>
          </w:tcPr>
          <w:p w14:paraId="776B2B24" w14:textId="1972D767" w:rsidR="00173A9F" w:rsidRPr="005F694C" w:rsidRDefault="00FB43BF" w:rsidP="000D56D2">
            <w:pPr>
              <w:jc w:val="center"/>
            </w:pPr>
            <w:r>
              <w:t>11,180</w:t>
            </w:r>
          </w:p>
        </w:tc>
        <w:tc>
          <w:tcPr>
            <w:tcW w:w="2270" w:type="dxa"/>
          </w:tcPr>
          <w:p w14:paraId="6562FD76" w14:textId="665B363B" w:rsidR="00173A9F" w:rsidRPr="005F694C" w:rsidRDefault="00FB43BF" w:rsidP="000D56D2">
            <w:pPr>
              <w:jc w:val="center"/>
            </w:pPr>
            <w:r>
              <w:t>70.0</w:t>
            </w:r>
          </w:p>
        </w:tc>
      </w:tr>
    </w:tbl>
    <w:p w14:paraId="42000077" w14:textId="77777777" w:rsidR="00173A9F" w:rsidRPr="00173A9F" w:rsidRDefault="00173A9F" w:rsidP="00173A9F">
      <w:pPr>
        <w:rPr>
          <w:b/>
          <w:bCs/>
        </w:rPr>
      </w:pPr>
    </w:p>
    <w:p w14:paraId="0D77DE0E" w14:textId="70860A89" w:rsidR="00501CCB" w:rsidRPr="00501CCB" w:rsidRDefault="00501CCB" w:rsidP="00501CCB">
      <w:pPr>
        <w:ind w:left="1080"/>
      </w:pPr>
    </w:p>
    <w:p w14:paraId="2BC1935F" w14:textId="0928797C" w:rsidR="00501CCB" w:rsidRPr="00501CCB" w:rsidRDefault="00501CCB" w:rsidP="00501CCB">
      <w:pPr>
        <w:pStyle w:val="ListParagraph"/>
        <w:numPr>
          <w:ilvl w:val="0"/>
          <w:numId w:val="1"/>
        </w:numPr>
        <w:rPr>
          <w:b/>
          <w:bCs/>
        </w:rPr>
      </w:pPr>
      <w:r w:rsidRPr="00501CCB">
        <w:rPr>
          <w:b/>
          <w:bCs/>
        </w:rPr>
        <w:t>Funding concentration based on significant instrument/product</w:t>
      </w:r>
    </w:p>
    <w:tbl>
      <w:tblPr>
        <w:tblW w:w="682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40"/>
        <w:gridCol w:w="2957"/>
        <w:gridCol w:w="1449"/>
        <w:gridCol w:w="1579"/>
      </w:tblGrid>
      <w:tr w:rsidR="00BD4756" w:rsidRPr="00501CCB" w14:paraId="0D7BE8D2" w14:textId="77777777" w:rsidTr="000D56D2">
        <w:trPr>
          <w:trHeight w:val="540"/>
          <w:jc w:val="center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76185BD" w14:textId="15BC410C" w:rsidR="00501CCB" w:rsidRPr="00501CCB" w:rsidRDefault="00501CCB" w:rsidP="00501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501CC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S. No.</w:t>
            </w:r>
          </w:p>
        </w:tc>
        <w:tc>
          <w:tcPr>
            <w:tcW w:w="2957" w:type="dxa"/>
            <w:shd w:val="clear" w:color="auto" w:fill="auto"/>
            <w:vAlign w:val="bottom"/>
            <w:hideMark/>
          </w:tcPr>
          <w:p w14:paraId="53548CDC" w14:textId="59E5B58F" w:rsidR="00501CCB" w:rsidRPr="00501CCB" w:rsidRDefault="00501CCB" w:rsidP="00501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501CC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 of</w:t>
            </w:r>
            <w:r w:rsidR="00BD4756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significant</w:t>
            </w:r>
            <w:r w:rsidRPr="00501CC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Instrument/ Product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14:paraId="6DACAEA8" w14:textId="6C40FEFE" w:rsidR="00501CCB" w:rsidRPr="00501CCB" w:rsidRDefault="00501CCB" w:rsidP="00501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Outstanding</w:t>
            </w:r>
            <w:r w:rsidRPr="00501CC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in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Rs c</w:t>
            </w:r>
            <w:r w:rsidRPr="00501CC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rores</w:t>
            </w:r>
          </w:p>
        </w:tc>
        <w:tc>
          <w:tcPr>
            <w:tcW w:w="1579" w:type="dxa"/>
            <w:shd w:val="clear" w:color="auto" w:fill="auto"/>
            <w:vAlign w:val="bottom"/>
            <w:hideMark/>
          </w:tcPr>
          <w:p w14:paraId="14B561F6" w14:textId="7A6C1F9B" w:rsidR="00501CCB" w:rsidRPr="00501CCB" w:rsidRDefault="00501CCB" w:rsidP="00501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501CC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% </w:t>
            </w:r>
            <w:proofErr w:type="gramStart"/>
            <w:r w:rsidRPr="00501CC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of</w:t>
            </w:r>
            <w:proofErr w:type="gramEnd"/>
            <w:r w:rsidRPr="00501CC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Total Liabilities</w:t>
            </w:r>
            <w:r w:rsidR="00BD4756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*</w:t>
            </w:r>
          </w:p>
        </w:tc>
      </w:tr>
      <w:tr w:rsidR="005F694C" w:rsidRPr="00501CCB" w14:paraId="54C23C4B" w14:textId="77777777" w:rsidTr="000D56D2">
        <w:trPr>
          <w:trHeight w:val="269"/>
          <w:jc w:val="center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59F7A95" w14:textId="77777777" w:rsidR="005F694C" w:rsidRPr="00501CCB" w:rsidRDefault="005F694C" w:rsidP="005F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1CCB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14:paraId="322E8C1C" w14:textId="6B13754F" w:rsidR="005F694C" w:rsidRPr="00501CCB" w:rsidRDefault="005F694C" w:rsidP="005F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Term Loans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3EC1C9D1" w14:textId="5DEBB64B" w:rsidR="005F694C" w:rsidRPr="00501CCB" w:rsidRDefault="00FB43BF" w:rsidP="005F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12,916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14:paraId="2B6820E2" w14:textId="1DE97BC7" w:rsidR="005F694C" w:rsidRPr="00501CCB" w:rsidRDefault="00FB43BF" w:rsidP="005F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76.3</w:t>
            </w:r>
          </w:p>
        </w:tc>
      </w:tr>
      <w:tr w:rsidR="005F694C" w:rsidRPr="00501CCB" w14:paraId="2943EAA5" w14:textId="77777777" w:rsidTr="000D56D2">
        <w:trPr>
          <w:trHeight w:val="269"/>
          <w:jc w:val="center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A8FD9F2" w14:textId="77777777" w:rsidR="005F694C" w:rsidRPr="00501CCB" w:rsidRDefault="005F694C" w:rsidP="005F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1CCB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14:paraId="3BA8E471" w14:textId="6308822E" w:rsidR="005F694C" w:rsidRPr="00501CCB" w:rsidRDefault="005F694C" w:rsidP="005F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Secured NCD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5950A07C" w14:textId="29084BB5" w:rsidR="005F694C" w:rsidRPr="00501CCB" w:rsidRDefault="005F694C" w:rsidP="005F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1,</w:t>
            </w:r>
            <w:r w:rsidR="00B01BD8">
              <w:rPr>
                <w:rFonts w:ascii="Calibri" w:hAnsi="Calibri" w:cs="Calibri"/>
                <w:color w:val="000000"/>
              </w:rPr>
              <w:t>6</w:t>
            </w:r>
            <w:r w:rsidR="00FB43BF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14:paraId="0529A24C" w14:textId="6B44722F" w:rsidR="005F694C" w:rsidRPr="00501CCB" w:rsidRDefault="00B01BD8" w:rsidP="005F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9.</w:t>
            </w:r>
            <w:r w:rsidR="00FB43BF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</w:tr>
      <w:tr w:rsidR="005F694C" w:rsidRPr="00501CCB" w14:paraId="16E7D46C" w14:textId="77777777" w:rsidTr="000D56D2">
        <w:trPr>
          <w:trHeight w:val="269"/>
          <w:jc w:val="center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D8D75CA" w14:textId="77777777" w:rsidR="005F694C" w:rsidRPr="00501CCB" w:rsidRDefault="005F694C" w:rsidP="005F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1CCB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2957" w:type="dxa"/>
            <w:shd w:val="clear" w:color="auto" w:fill="auto"/>
            <w:noWrap/>
            <w:vAlign w:val="center"/>
            <w:hideMark/>
          </w:tcPr>
          <w:p w14:paraId="26EC828D" w14:textId="1386E74C" w:rsidR="005F694C" w:rsidRPr="00501CCB" w:rsidRDefault="005F694C" w:rsidP="005F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Sub debt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14:paraId="5A592F97" w14:textId="2E9BA947" w:rsidR="005F694C" w:rsidRPr="00501CCB" w:rsidRDefault="005F694C" w:rsidP="005F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1,</w:t>
            </w:r>
            <w:r w:rsidR="00FB1ABA">
              <w:rPr>
                <w:rFonts w:ascii="Calibri" w:hAnsi="Calibri" w:cs="Calibri"/>
                <w:color w:val="000000"/>
              </w:rPr>
              <w:t>22</w:t>
            </w:r>
            <w:r w:rsidR="00FB43B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79" w:type="dxa"/>
            <w:shd w:val="clear" w:color="auto" w:fill="auto"/>
            <w:noWrap/>
            <w:vAlign w:val="center"/>
            <w:hideMark/>
          </w:tcPr>
          <w:p w14:paraId="2A83A1ED" w14:textId="36DB19B8" w:rsidR="005F694C" w:rsidRPr="00501CCB" w:rsidRDefault="005F694C" w:rsidP="005F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  <w:r w:rsidR="00FB43BF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F694C" w:rsidRPr="00501CCB" w14:paraId="4A40544E" w14:textId="77777777" w:rsidTr="000D56D2">
        <w:trPr>
          <w:trHeight w:val="269"/>
          <w:jc w:val="center"/>
        </w:trPr>
        <w:tc>
          <w:tcPr>
            <w:tcW w:w="840" w:type="dxa"/>
            <w:shd w:val="clear" w:color="auto" w:fill="auto"/>
            <w:noWrap/>
            <w:vAlign w:val="bottom"/>
          </w:tcPr>
          <w:p w14:paraId="548D8E29" w14:textId="5B9A05A1" w:rsidR="005F694C" w:rsidRPr="00501CCB" w:rsidRDefault="005F694C" w:rsidP="005F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2957" w:type="dxa"/>
            <w:shd w:val="clear" w:color="auto" w:fill="auto"/>
            <w:noWrap/>
            <w:vAlign w:val="center"/>
          </w:tcPr>
          <w:p w14:paraId="55939B07" w14:textId="425A3DBD" w:rsidR="005F694C" w:rsidRPr="00501CCB" w:rsidRDefault="005F694C" w:rsidP="005F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Commercial Paper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14:paraId="1AAF371C" w14:textId="6AA50C58" w:rsidR="005F694C" w:rsidRPr="00501CCB" w:rsidRDefault="00FB1ABA" w:rsidP="005F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 w14:paraId="4EE1DF4C" w14:textId="7C52E493" w:rsidR="005F694C" w:rsidRDefault="00FB1ABA" w:rsidP="005F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-</w:t>
            </w:r>
          </w:p>
        </w:tc>
      </w:tr>
      <w:tr w:rsidR="005F694C" w:rsidRPr="00501CCB" w14:paraId="6A79BECF" w14:textId="77777777" w:rsidTr="000D56D2">
        <w:trPr>
          <w:trHeight w:val="269"/>
          <w:jc w:val="center"/>
        </w:trPr>
        <w:tc>
          <w:tcPr>
            <w:tcW w:w="840" w:type="dxa"/>
            <w:shd w:val="clear" w:color="auto" w:fill="auto"/>
            <w:noWrap/>
            <w:vAlign w:val="bottom"/>
          </w:tcPr>
          <w:p w14:paraId="3D3155AD" w14:textId="3ED6EA0C" w:rsidR="005F694C" w:rsidRPr="00501CCB" w:rsidRDefault="005F694C" w:rsidP="005F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2957" w:type="dxa"/>
            <w:shd w:val="clear" w:color="auto" w:fill="auto"/>
            <w:noWrap/>
            <w:vAlign w:val="center"/>
          </w:tcPr>
          <w:p w14:paraId="28B0AC69" w14:textId="47217D80" w:rsidR="005F694C" w:rsidRPr="00501CCB" w:rsidRDefault="005F694C" w:rsidP="005F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Cash Credit / WCDL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14:paraId="1CD2F477" w14:textId="018F0685" w:rsidR="005F694C" w:rsidRPr="00501CCB" w:rsidRDefault="00FB43BF" w:rsidP="005F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148</w:t>
            </w:r>
          </w:p>
        </w:tc>
        <w:tc>
          <w:tcPr>
            <w:tcW w:w="1579" w:type="dxa"/>
            <w:shd w:val="clear" w:color="auto" w:fill="auto"/>
            <w:noWrap/>
            <w:vAlign w:val="center"/>
          </w:tcPr>
          <w:p w14:paraId="63F9352C" w14:textId="6FD630B9" w:rsidR="005F694C" w:rsidRDefault="00B01BD8" w:rsidP="005F69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FB43BF">
              <w:rPr>
                <w:rFonts w:ascii="Calibri" w:hAnsi="Calibri" w:cs="Calibri"/>
                <w:color w:val="000000"/>
              </w:rPr>
              <w:t>9</w:t>
            </w:r>
          </w:p>
        </w:tc>
      </w:tr>
    </w:tbl>
    <w:p w14:paraId="0F34F441" w14:textId="77777777" w:rsidR="00BD4756" w:rsidRDefault="00BD4756" w:rsidP="00BD4756">
      <w:r w:rsidRPr="00BD4756">
        <w:rPr>
          <w:sz w:val="16"/>
          <w:szCs w:val="16"/>
        </w:rPr>
        <w:tab/>
      </w:r>
      <w:r w:rsidRPr="00BD4756">
        <w:rPr>
          <w:sz w:val="16"/>
          <w:szCs w:val="16"/>
        </w:rPr>
        <w:tab/>
        <w:t>* Liabilities includes financial and non-financial liabilities</w:t>
      </w:r>
      <w:r>
        <w:rPr>
          <w:sz w:val="16"/>
          <w:szCs w:val="16"/>
        </w:rPr>
        <w:t xml:space="preserve"> and does not include shareholders’ equity</w:t>
      </w:r>
    </w:p>
    <w:p w14:paraId="317009CA" w14:textId="77777777" w:rsidR="0032415D" w:rsidRDefault="0032415D" w:rsidP="00501CCB">
      <w:pPr>
        <w:ind w:left="1080"/>
      </w:pPr>
    </w:p>
    <w:p w14:paraId="18301F2B" w14:textId="71D4F621" w:rsidR="00501CCB" w:rsidRPr="00501CCB" w:rsidRDefault="00501CCB" w:rsidP="00501CCB">
      <w:pPr>
        <w:pStyle w:val="ListParagraph"/>
        <w:numPr>
          <w:ilvl w:val="0"/>
          <w:numId w:val="1"/>
        </w:numPr>
        <w:rPr>
          <w:b/>
          <w:bCs/>
        </w:rPr>
      </w:pPr>
      <w:r w:rsidRPr="00501CCB">
        <w:rPr>
          <w:b/>
          <w:bCs/>
        </w:rPr>
        <w:t>Stock Ratios:</w:t>
      </w:r>
    </w:p>
    <w:p w14:paraId="11F34242" w14:textId="51AD7281" w:rsidR="00501CCB" w:rsidRDefault="00501CCB" w:rsidP="00501CCB">
      <w:pPr>
        <w:pStyle w:val="ListParagraph"/>
        <w:numPr>
          <w:ilvl w:val="1"/>
          <w:numId w:val="1"/>
        </w:numPr>
        <w:rPr>
          <w:b/>
          <w:bCs/>
        </w:rPr>
      </w:pPr>
      <w:r w:rsidRPr="00501CCB">
        <w:rPr>
          <w:b/>
          <w:bCs/>
        </w:rPr>
        <w:t>Commercial Papers as a % of total public funds, total liabilities and total assets</w:t>
      </w:r>
    </w:p>
    <w:tbl>
      <w:tblPr>
        <w:tblW w:w="675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5"/>
        <w:gridCol w:w="2629"/>
        <w:gridCol w:w="1517"/>
        <w:gridCol w:w="1581"/>
      </w:tblGrid>
      <w:tr w:rsidR="00501CCB" w:rsidRPr="00501CCB" w14:paraId="197A9C50" w14:textId="77777777" w:rsidTr="00BD4756">
        <w:trPr>
          <w:trHeight w:val="420"/>
          <w:jc w:val="center"/>
        </w:trPr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5AEAF19B" w14:textId="0D3FF0A6" w:rsidR="00501CCB" w:rsidRPr="00501CCB" w:rsidRDefault="00501CCB" w:rsidP="0050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501CC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</w:t>
            </w:r>
            <w:r w:rsidR="002F5F59" w:rsidRPr="002F5F5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.</w:t>
            </w:r>
            <w:r w:rsidRPr="00501CC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No.</w:t>
            </w:r>
          </w:p>
        </w:tc>
        <w:tc>
          <w:tcPr>
            <w:tcW w:w="2629" w:type="dxa"/>
            <w:shd w:val="clear" w:color="auto" w:fill="auto"/>
            <w:vAlign w:val="bottom"/>
            <w:hideMark/>
          </w:tcPr>
          <w:p w14:paraId="0243AE6A" w14:textId="77777777" w:rsidR="00501CCB" w:rsidRPr="00501CCB" w:rsidRDefault="00501CCB" w:rsidP="0050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501CC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 of Instrument/ Product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14:paraId="7986C995" w14:textId="77777777" w:rsidR="00501CCB" w:rsidRPr="00501CCB" w:rsidRDefault="00501CCB" w:rsidP="0050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501CC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% </w:t>
            </w:r>
            <w:proofErr w:type="gramStart"/>
            <w:r w:rsidRPr="00501CC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of</w:t>
            </w:r>
            <w:proofErr w:type="gramEnd"/>
            <w:r w:rsidRPr="00501CC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Total Public Funds</w:t>
            </w:r>
          </w:p>
        </w:tc>
        <w:tc>
          <w:tcPr>
            <w:tcW w:w="1581" w:type="dxa"/>
            <w:shd w:val="clear" w:color="auto" w:fill="auto"/>
            <w:vAlign w:val="bottom"/>
            <w:hideMark/>
          </w:tcPr>
          <w:p w14:paraId="42F0585C" w14:textId="4D468C1B" w:rsidR="00501CCB" w:rsidRPr="00501CCB" w:rsidRDefault="00501CCB" w:rsidP="00501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501CC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% </w:t>
            </w:r>
            <w:proofErr w:type="gramStart"/>
            <w:r w:rsidRPr="00501CC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of</w:t>
            </w:r>
            <w:proofErr w:type="gramEnd"/>
            <w:r w:rsidRPr="00501CCB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Total Liabilities</w:t>
            </w:r>
            <w:r w:rsidR="00BD4756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*</w:t>
            </w:r>
          </w:p>
        </w:tc>
      </w:tr>
      <w:tr w:rsidR="00FB1ABA" w:rsidRPr="00501CCB" w14:paraId="7E048EB8" w14:textId="77777777" w:rsidTr="00BD4756">
        <w:trPr>
          <w:trHeight w:val="210"/>
          <w:jc w:val="center"/>
        </w:trPr>
        <w:tc>
          <w:tcPr>
            <w:tcW w:w="1025" w:type="dxa"/>
            <w:shd w:val="clear" w:color="auto" w:fill="auto"/>
            <w:noWrap/>
            <w:vAlign w:val="bottom"/>
            <w:hideMark/>
          </w:tcPr>
          <w:p w14:paraId="0FCB6934" w14:textId="77777777" w:rsidR="00FB1ABA" w:rsidRPr="00501CCB" w:rsidRDefault="00FB1ABA" w:rsidP="00FB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1CCB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2629" w:type="dxa"/>
            <w:shd w:val="clear" w:color="auto" w:fill="auto"/>
            <w:noWrap/>
            <w:vAlign w:val="bottom"/>
            <w:hideMark/>
          </w:tcPr>
          <w:p w14:paraId="098FB5F4" w14:textId="77777777" w:rsidR="00FB1ABA" w:rsidRPr="00501CCB" w:rsidRDefault="00FB1ABA" w:rsidP="00FB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1CCB">
              <w:rPr>
                <w:rFonts w:ascii="Calibri" w:eastAsia="Times New Roman" w:hAnsi="Calibri" w:cs="Calibri"/>
                <w:color w:val="000000"/>
                <w:lang w:eastAsia="en-IN"/>
              </w:rPr>
              <w:t>Commercial Paper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14:paraId="6943FEBF" w14:textId="4F3590D2" w:rsidR="00FB1ABA" w:rsidRPr="00501CCB" w:rsidRDefault="00FB1ABA" w:rsidP="00FB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Not applicable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14:paraId="7090CC8F" w14:textId="6ED5498D" w:rsidR="00FB1ABA" w:rsidRPr="00501CCB" w:rsidRDefault="00FB1ABA" w:rsidP="00FB1A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Not applicable</w:t>
            </w:r>
          </w:p>
        </w:tc>
      </w:tr>
    </w:tbl>
    <w:p w14:paraId="58D56FF5" w14:textId="77777777" w:rsidR="00BD4756" w:rsidRDefault="00BD4756" w:rsidP="00BD4756">
      <w:r w:rsidRPr="00BD4756">
        <w:rPr>
          <w:sz w:val="16"/>
          <w:szCs w:val="16"/>
        </w:rPr>
        <w:tab/>
      </w:r>
      <w:r w:rsidRPr="00BD4756">
        <w:rPr>
          <w:sz w:val="16"/>
          <w:szCs w:val="16"/>
        </w:rPr>
        <w:tab/>
        <w:t>* Liabilities includes financial and non-financial liabilities</w:t>
      </w:r>
      <w:r>
        <w:rPr>
          <w:sz w:val="16"/>
          <w:szCs w:val="16"/>
        </w:rPr>
        <w:t xml:space="preserve"> and does not include shareholders’ equity</w:t>
      </w:r>
    </w:p>
    <w:p w14:paraId="060E9F00" w14:textId="77777777" w:rsidR="00501CCB" w:rsidRPr="00501CCB" w:rsidRDefault="00501CCB" w:rsidP="00501CCB">
      <w:pPr>
        <w:pStyle w:val="ListParagraph"/>
        <w:ind w:left="1440"/>
        <w:rPr>
          <w:b/>
          <w:bCs/>
        </w:rPr>
      </w:pPr>
    </w:p>
    <w:p w14:paraId="0737959E" w14:textId="68FFC188" w:rsidR="00501CCB" w:rsidRDefault="00501CCB" w:rsidP="00501CCB">
      <w:pPr>
        <w:pStyle w:val="ListParagraph"/>
        <w:numPr>
          <w:ilvl w:val="1"/>
          <w:numId w:val="1"/>
        </w:numPr>
        <w:rPr>
          <w:b/>
          <w:bCs/>
        </w:rPr>
      </w:pPr>
      <w:r w:rsidRPr="00501CCB">
        <w:rPr>
          <w:b/>
          <w:bCs/>
        </w:rPr>
        <w:t>Non-convertible debentures (original maturity of less than one year) as a % of total public funds, total liabilities and total assets</w:t>
      </w:r>
    </w:p>
    <w:p w14:paraId="36B06535" w14:textId="28278430" w:rsidR="002F5F59" w:rsidRDefault="002F5F59" w:rsidP="002F5F59">
      <w:pPr>
        <w:pStyle w:val="ListParagraph"/>
        <w:ind w:left="1080"/>
        <w:rPr>
          <w:b/>
          <w:bCs/>
        </w:rPr>
      </w:pPr>
    </w:p>
    <w:p w14:paraId="0F06E86D" w14:textId="11716136" w:rsidR="002F5F59" w:rsidRPr="002F5F59" w:rsidRDefault="002F5F59" w:rsidP="002F5F59">
      <w:pPr>
        <w:pStyle w:val="ListParagraph"/>
        <w:ind w:left="1440"/>
      </w:pPr>
      <w:r w:rsidRPr="002F5F59">
        <w:t>Not applicable</w:t>
      </w:r>
    </w:p>
    <w:p w14:paraId="4D56D2E8" w14:textId="77777777" w:rsidR="002F5F59" w:rsidRDefault="002F5F59" w:rsidP="002F5F59">
      <w:pPr>
        <w:pStyle w:val="ListParagraph"/>
        <w:ind w:left="1440"/>
        <w:rPr>
          <w:b/>
          <w:bCs/>
        </w:rPr>
      </w:pPr>
    </w:p>
    <w:p w14:paraId="5078606F" w14:textId="45AB07CB" w:rsidR="00501CCB" w:rsidRPr="00501CCB" w:rsidRDefault="00501CCB" w:rsidP="00501CCB">
      <w:pPr>
        <w:pStyle w:val="ListParagraph"/>
        <w:numPr>
          <w:ilvl w:val="1"/>
          <w:numId w:val="1"/>
        </w:numPr>
        <w:rPr>
          <w:b/>
          <w:bCs/>
        </w:rPr>
      </w:pPr>
      <w:r w:rsidRPr="00501CCB">
        <w:rPr>
          <w:b/>
          <w:bCs/>
        </w:rPr>
        <w:t>Other short-term liabilities, if any as % of total public funds, total liabilities and total assets</w:t>
      </w:r>
    </w:p>
    <w:p w14:paraId="5A4EFA71" w14:textId="05B434D2" w:rsidR="00501CCB" w:rsidRDefault="00501CCB" w:rsidP="00501CCB">
      <w:pPr>
        <w:pStyle w:val="ListParagraph"/>
        <w:ind w:left="1440"/>
      </w:pPr>
    </w:p>
    <w:tbl>
      <w:tblPr>
        <w:tblW w:w="666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1"/>
        <w:gridCol w:w="2593"/>
        <w:gridCol w:w="1496"/>
        <w:gridCol w:w="1560"/>
      </w:tblGrid>
      <w:tr w:rsidR="002F5F59" w:rsidRPr="002F5F59" w14:paraId="4673BE3A" w14:textId="77777777" w:rsidTr="00BD4756">
        <w:trPr>
          <w:trHeight w:val="329"/>
          <w:jc w:val="center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420EC219" w14:textId="0F03CA84" w:rsidR="002F5F59" w:rsidRPr="002F5F59" w:rsidRDefault="002F5F59" w:rsidP="002F5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2F5F5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S. No.</w:t>
            </w:r>
          </w:p>
        </w:tc>
        <w:tc>
          <w:tcPr>
            <w:tcW w:w="2593" w:type="dxa"/>
            <w:shd w:val="clear" w:color="auto" w:fill="auto"/>
            <w:vAlign w:val="bottom"/>
            <w:hideMark/>
          </w:tcPr>
          <w:p w14:paraId="4B390895" w14:textId="77777777" w:rsidR="002F5F59" w:rsidRPr="002F5F59" w:rsidRDefault="002F5F59" w:rsidP="002F5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2F5F5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Name of Instrument/ Product</w:t>
            </w:r>
          </w:p>
        </w:tc>
        <w:tc>
          <w:tcPr>
            <w:tcW w:w="1496" w:type="dxa"/>
            <w:shd w:val="clear" w:color="auto" w:fill="auto"/>
            <w:vAlign w:val="bottom"/>
            <w:hideMark/>
          </w:tcPr>
          <w:p w14:paraId="660B0B40" w14:textId="77777777" w:rsidR="002F5F59" w:rsidRPr="002F5F59" w:rsidRDefault="002F5F59" w:rsidP="002F5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2F5F5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% </w:t>
            </w:r>
            <w:proofErr w:type="gramStart"/>
            <w:r w:rsidRPr="002F5F5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of</w:t>
            </w:r>
            <w:proofErr w:type="gramEnd"/>
            <w:r w:rsidRPr="002F5F5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Total Public Funds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0BB8F42" w14:textId="2679B702" w:rsidR="002F5F59" w:rsidRPr="002F5F59" w:rsidRDefault="002F5F59" w:rsidP="002F5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2F5F5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% </w:t>
            </w:r>
            <w:proofErr w:type="gramStart"/>
            <w:r w:rsidRPr="002F5F5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of</w:t>
            </w:r>
            <w:proofErr w:type="gramEnd"/>
            <w:r w:rsidRPr="002F5F59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Total Liabilities</w:t>
            </w:r>
            <w:r w:rsidR="00BD4756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*</w:t>
            </w:r>
          </w:p>
        </w:tc>
      </w:tr>
      <w:tr w:rsidR="002F5F59" w:rsidRPr="002F5F59" w14:paraId="6ADEEAE5" w14:textId="77777777" w:rsidTr="00BD4756">
        <w:trPr>
          <w:trHeight w:val="164"/>
          <w:jc w:val="center"/>
        </w:trPr>
        <w:tc>
          <w:tcPr>
            <w:tcW w:w="1011" w:type="dxa"/>
            <w:shd w:val="clear" w:color="auto" w:fill="auto"/>
            <w:noWrap/>
            <w:vAlign w:val="bottom"/>
            <w:hideMark/>
          </w:tcPr>
          <w:p w14:paraId="61559C72" w14:textId="77777777" w:rsidR="002F5F59" w:rsidRPr="002F5F59" w:rsidRDefault="002F5F59" w:rsidP="002F5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5F59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2593" w:type="dxa"/>
            <w:shd w:val="clear" w:color="auto" w:fill="auto"/>
            <w:noWrap/>
            <w:vAlign w:val="bottom"/>
            <w:hideMark/>
          </w:tcPr>
          <w:p w14:paraId="2C5FB867" w14:textId="10C6598B" w:rsidR="002F5F59" w:rsidRPr="002F5F59" w:rsidRDefault="002F5F59" w:rsidP="002F5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2F5F59">
              <w:rPr>
                <w:rFonts w:ascii="Calibri" w:eastAsia="Times New Roman" w:hAnsi="Calibri" w:cs="Calibri"/>
                <w:color w:val="000000"/>
                <w:lang w:eastAsia="en-IN"/>
              </w:rPr>
              <w:t>Cash Credit / W</w:t>
            </w:r>
            <w:r w:rsidR="00BD4756">
              <w:rPr>
                <w:rFonts w:ascii="Calibri" w:eastAsia="Times New Roman" w:hAnsi="Calibri" w:cs="Calibri"/>
                <w:color w:val="000000"/>
                <w:lang w:eastAsia="en-IN"/>
              </w:rPr>
              <w:t>orking Capital Demand Loan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6F320BFA" w14:textId="42BD6C8D" w:rsidR="002F5F59" w:rsidRPr="002F5F59" w:rsidRDefault="00FB1ABA" w:rsidP="002F5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</w:t>
            </w:r>
            <w:r w:rsidR="00FB43BF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025760" w14:textId="5738BA4D" w:rsidR="002F5F59" w:rsidRPr="002F5F59" w:rsidRDefault="00B01BD8" w:rsidP="002F5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</w:t>
            </w:r>
            <w:r w:rsidR="00FB43BF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</w:tr>
    </w:tbl>
    <w:p w14:paraId="6D5B0798" w14:textId="53A345EF" w:rsidR="002F5F59" w:rsidRDefault="00BD4756" w:rsidP="00BD4756">
      <w:r w:rsidRPr="00BD4756">
        <w:rPr>
          <w:sz w:val="16"/>
          <w:szCs w:val="16"/>
        </w:rPr>
        <w:tab/>
      </w:r>
      <w:r w:rsidRPr="00BD4756">
        <w:rPr>
          <w:sz w:val="16"/>
          <w:szCs w:val="16"/>
        </w:rPr>
        <w:tab/>
        <w:t>* Liabilities includes financial and non-financial liabilities</w:t>
      </w:r>
      <w:r>
        <w:rPr>
          <w:sz w:val="16"/>
          <w:szCs w:val="16"/>
        </w:rPr>
        <w:t xml:space="preserve"> and does not include shareholders’ equity</w:t>
      </w:r>
    </w:p>
    <w:p w14:paraId="0F6DE343" w14:textId="77777777" w:rsidR="002F5F59" w:rsidRPr="00501CCB" w:rsidRDefault="002F5F59" w:rsidP="00501CCB">
      <w:pPr>
        <w:pStyle w:val="ListParagraph"/>
        <w:ind w:left="1440"/>
      </w:pPr>
    </w:p>
    <w:p w14:paraId="55AD5D5C" w14:textId="104D04A8" w:rsidR="00501CCB" w:rsidRDefault="00501CCB" w:rsidP="00501CCB">
      <w:pPr>
        <w:pStyle w:val="ListParagraph"/>
        <w:numPr>
          <w:ilvl w:val="0"/>
          <w:numId w:val="1"/>
        </w:numPr>
        <w:rPr>
          <w:b/>
          <w:bCs/>
        </w:rPr>
      </w:pPr>
      <w:r w:rsidRPr="002F5F59">
        <w:rPr>
          <w:b/>
          <w:bCs/>
        </w:rPr>
        <w:t>Institutional set-up for liquidity risk management</w:t>
      </w:r>
    </w:p>
    <w:p w14:paraId="75B860B8" w14:textId="3D635BD2" w:rsidR="002F5F59" w:rsidRDefault="002F5F59" w:rsidP="002F5F59">
      <w:pPr>
        <w:pStyle w:val="ListParagraph"/>
        <w:ind w:left="1080"/>
        <w:rPr>
          <w:b/>
          <w:bCs/>
        </w:rPr>
      </w:pPr>
    </w:p>
    <w:p w14:paraId="27C64D33" w14:textId="269383B8" w:rsidR="002F5F59" w:rsidRDefault="002F5F59" w:rsidP="000852F3">
      <w:pPr>
        <w:pStyle w:val="ListParagraph"/>
        <w:spacing w:line="360" w:lineRule="auto"/>
        <w:ind w:left="1080"/>
      </w:pPr>
      <w:r w:rsidRPr="000852F3">
        <w:t>We have a</w:t>
      </w:r>
      <w:r w:rsidR="00BD4756">
        <w:t>n</w:t>
      </w:r>
      <w:r w:rsidRPr="000852F3">
        <w:t xml:space="preserve"> asset liability management committee (ALCO) that </w:t>
      </w:r>
      <w:r w:rsidR="000852F3">
        <w:t xml:space="preserve">is </w:t>
      </w:r>
      <w:r w:rsidRPr="000852F3">
        <w:t xml:space="preserve">formed in accordance with the Directions issued by the Reserve Bank of India. </w:t>
      </w:r>
      <w:r w:rsidR="0032415D" w:rsidRPr="0032415D">
        <w:t>Our Asset Liability Committee takes into account interest rate forecasts and spreads,</w:t>
      </w:r>
      <w:r w:rsidR="0032415D">
        <w:t xml:space="preserve"> </w:t>
      </w:r>
      <w:r w:rsidR="0032415D" w:rsidRPr="0032415D">
        <w:t>the internal cost of funds, operating results, projected funding needs, projected loan disbursements, liquidity</w:t>
      </w:r>
      <w:r w:rsidR="0032415D" w:rsidRPr="0032415D">
        <w:br/>
        <w:t>position, loan loss reserves to outstanding loans, funding strategies</w:t>
      </w:r>
      <w:r w:rsidR="0032415D">
        <w:rPr>
          <w:rStyle w:val="fontstyle01"/>
        </w:rPr>
        <w:t xml:space="preserve">. </w:t>
      </w:r>
      <w:r w:rsidR="000852F3">
        <w:t>This committee reviews the fund position, asset liability maturity profile, variance between forecast and actuals of the concluded quarter, analysis of sensitivity of interest rates variation in various buckets,</w:t>
      </w:r>
      <w:r w:rsidR="0032415D">
        <w:t xml:space="preserve"> what if scenario analysis,</w:t>
      </w:r>
      <w:r w:rsidR="000852F3">
        <w:t xml:space="preserve"> etc. </w:t>
      </w:r>
      <w:r w:rsidR="005F694C" w:rsidRPr="005F694C">
        <w:t>The Company maintains a positive cumulative mismatch in all buckets</w:t>
      </w:r>
      <w:r w:rsidR="005F694C">
        <w:t>.</w:t>
      </w:r>
    </w:p>
    <w:p w14:paraId="0430EE42" w14:textId="6431073B" w:rsidR="005F694C" w:rsidRDefault="005F694C" w:rsidP="000852F3">
      <w:pPr>
        <w:pStyle w:val="ListParagraph"/>
        <w:spacing w:line="360" w:lineRule="auto"/>
        <w:ind w:left="1080"/>
      </w:pPr>
    </w:p>
    <w:p w14:paraId="47EF578C" w14:textId="43FE6C07" w:rsidR="005F694C" w:rsidRDefault="005F694C" w:rsidP="000852F3">
      <w:pPr>
        <w:pStyle w:val="ListParagraph"/>
        <w:spacing w:line="360" w:lineRule="auto"/>
        <w:ind w:left="1080"/>
      </w:pPr>
    </w:p>
    <w:p w14:paraId="12831E0A" w14:textId="4B2422C6" w:rsidR="005F694C" w:rsidRDefault="005F694C" w:rsidP="000852F3">
      <w:pPr>
        <w:pStyle w:val="ListParagraph"/>
        <w:spacing w:line="360" w:lineRule="auto"/>
        <w:ind w:left="1080"/>
      </w:pPr>
    </w:p>
    <w:p w14:paraId="0154D539" w14:textId="77777777" w:rsidR="005F694C" w:rsidRPr="001F5638" w:rsidRDefault="005F694C" w:rsidP="000852F3">
      <w:pPr>
        <w:pStyle w:val="ListParagraph"/>
        <w:spacing w:line="360" w:lineRule="auto"/>
        <w:ind w:left="1080"/>
      </w:pPr>
      <w:r w:rsidRPr="001F5638">
        <w:t>Notes:</w:t>
      </w:r>
      <w:r w:rsidRPr="001F5638">
        <w:br/>
      </w:r>
      <w:r w:rsidRPr="001F5638">
        <w:rPr>
          <w:b/>
          <w:bCs/>
        </w:rPr>
        <w:t>1. Significant counterparty</w:t>
      </w:r>
      <w:r w:rsidRPr="001F5638">
        <w:t>: A “Significant counterparty” is defined as a single counterparty or group of connected or affiliated counterparties accounting in aggregate for more than 1% of the NBFC's total liabilities.</w:t>
      </w:r>
    </w:p>
    <w:p w14:paraId="66C15C31" w14:textId="77777777" w:rsidR="005F694C" w:rsidRPr="001F5638" w:rsidRDefault="005F694C" w:rsidP="000852F3">
      <w:pPr>
        <w:pStyle w:val="ListParagraph"/>
        <w:spacing w:line="360" w:lineRule="auto"/>
        <w:ind w:left="1080"/>
      </w:pPr>
      <w:r w:rsidRPr="001F5638">
        <w:br/>
      </w:r>
      <w:r w:rsidRPr="001F5638">
        <w:rPr>
          <w:b/>
          <w:bCs/>
        </w:rPr>
        <w:t>2. Significant instrument/product:</w:t>
      </w:r>
      <w:r w:rsidRPr="001F5638">
        <w:t xml:space="preserve"> A "Significant instrument/product" is defined as a single instrument/product of group of similar instruments/products which in aggregate amount to more than 1% of the NBFC's total liabilities.</w:t>
      </w:r>
    </w:p>
    <w:p w14:paraId="4456E829" w14:textId="543740E4" w:rsidR="005F694C" w:rsidRDefault="005F694C" w:rsidP="000852F3">
      <w:pPr>
        <w:pStyle w:val="ListParagraph"/>
        <w:spacing w:line="360" w:lineRule="auto"/>
        <w:ind w:left="1080"/>
      </w:pPr>
      <w:r w:rsidRPr="001F5638">
        <w:br/>
      </w:r>
      <w:r w:rsidRPr="001F5638">
        <w:rPr>
          <w:b/>
          <w:bCs/>
        </w:rPr>
        <w:t>3. Total liabilities:</w:t>
      </w:r>
      <w:r w:rsidRPr="001F5638">
        <w:t xml:space="preserve"> Total liabilities include all external liabilities (other than equity)</w:t>
      </w:r>
    </w:p>
    <w:sectPr w:rsidR="005F6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3522" w14:textId="77777777" w:rsidR="00AA6AFF" w:rsidRDefault="00AA6AFF" w:rsidP="00BD4756">
      <w:pPr>
        <w:spacing w:after="0" w:line="240" w:lineRule="auto"/>
      </w:pPr>
      <w:r>
        <w:separator/>
      </w:r>
    </w:p>
  </w:endnote>
  <w:endnote w:type="continuationSeparator" w:id="0">
    <w:p w14:paraId="6F58E670" w14:textId="77777777" w:rsidR="00AA6AFF" w:rsidRDefault="00AA6AFF" w:rsidP="00BD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AFC76" w14:textId="77777777" w:rsidR="00AA6AFF" w:rsidRDefault="00AA6AFF" w:rsidP="00BD4756">
      <w:pPr>
        <w:spacing w:after="0" w:line="240" w:lineRule="auto"/>
      </w:pPr>
      <w:r>
        <w:separator/>
      </w:r>
    </w:p>
  </w:footnote>
  <w:footnote w:type="continuationSeparator" w:id="0">
    <w:p w14:paraId="098F9CE4" w14:textId="77777777" w:rsidR="00AA6AFF" w:rsidRDefault="00AA6AFF" w:rsidP="00BD4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3030B"/>
    <w:multiLevelType w:val="hybridMultilevel"/>
    <w:tmpl w:val="8ECCBE32"/>
    <w:lvl w:ilvl="0" w:tplc="5FDE32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CB"/>
    <w:rsid w:val="000852F3"/>
    <w:rsid w:val="000D56D2"/>
    <w:rsid w:val="00173A9F"/>
    <w:rsid w:val="001F5638"/>
    <w:rsid w:val="002268BF"/>
    <w:rsid w:val="002F5F59"/>
    <w:rsid w:val="0032415D"/>
    <w:rsid w:val="00333EBD"/>
    <w:rsid w:val="00381BD4"/>
    <w:rsid w:val="003F4385"/>
    <w:rsid w:val="00501CCB"/>
    <w:rsid w:val="005F694C"/>
    <w:rsid w:val="00715B34"/>
    <w:rsid w:val="0080062A"/>
    <w:rsid w:val="00885905"/>
    <w:rsid w:val="008C430B"/>
    <w:rsid w:val="00A03B7D"/>
    <w:rsid w:val="00A41183"/>
    <w:rsid w:val="00A5048D"/>
    <w:rsid w:val="00AA6AFF"/>
    <w:rsid w:val="00B01BD8"/>
    <w:rsid w:val="00B04819"/>
    <w:rsid w:val="00BD4756"/>
    <w:rsid w:val="00C37EF3"/>
    <w:rsid w:val="00D9244A"/>
    <w:rsid w:val="00DA117E"/>
    <w:rsid w:val="00EB7555"/>
    <w:rsid w:val="00F4442D"/>
    <w:rsid w:val="00FB1ABA"/>
    <w:rsid w:val="00FB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DEFD1"/>
  <w15:chartTrackingRefBased/>
  <w15:docId w15:val="{F0D8DB7B-49B6-4C1D-B514-793BD68B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C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47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7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756"/>
    <w:rPr>
      <w:vertAlign w:val="superscript"/>
    </w:rPr>
  </w:style>
  <w:style w:type="character" w:customStyle="1" w:styleId="fontstyle01">
    <w:name w:val="fontstyle01"/>
    <w:basedOn w:val="DefaultParagraphFont"/>
    <w:rsid w:val="0032415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17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DefaultParagraphFont"/>
    <w:rsid w:val="005F694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3F4A3-8739-4AB5-8958-6C24207C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Satheesh K. 18773</dc:creator>
  <cp:keywords/>
  <dc:description/>
  <cp:lastModifiedBy>Satheesh K. 18773</cp:lastModifiedBy>
  <cp:revision>15</cp:revision>
  <cp:lastPrinted>2021-02-17T08:30:00Z</cp:lastPrinted>
  <dcterms:created xsi:type="dcterms:W3CDTF">2021-02-17T07:12:00Z</dcterms:created>
  <dcterms:modified xsi:type="dcterms:W3CDTF">2022-02-11T09:09:00Z</dcterms:modified>
</cp:coreProperties>
</file>